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38" w:rsidRPr="00DC358C" w:rsidRDefault="00DC358C">
      <w:pPr>
        <w:tabs>
          <w:tab w:val="left" w:pos="2540"/>
          <w:tab w:val="left" w:pos="5900"/>
          <w:tab w:val="left" w:pos="7780"/>
        </w:tabs>
        <w:ind w:left="820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Основная</w:t>
      </w:r>
      <w:r w:rsidRPr="00DC358C">
        <w:rPr>
          <w:color w:val="000000" w:themeColor="text1"/>
          <w:sz w:val="28"/>
          <w:szCs w:val="28"/>
        </w:rPr>
        <w:tab/>
      </w:r>
      <w:r w:rsidRPr="00DC358C">
        <w:rPr>
          <w:rFonts w:eastAsia="Times New Roman"/>
          <w:color w:val="000000" w:themeColor="text1"/>
          <w:sz w:val="28"/>
          <w:szCs w:val="28"/>
        </w:rPr>
        <w:t>общеобразовательная</w:t>
      </w:r>
      <w:r w:rsidRPr="00DC358C">
        <w:rPr>
          <w:color w:val="000000" w:themeColor="text1"/>
          <w:sz w:val="28"/>
          <w:szCs w:val="28"/>
        </w:rPr>
        <w:tab/>
      </w:r>
      <w:r w:rsidRPr="00DC358C">
        <w:rPr>
          <w:rFonts w:eastAsia="Times New Roman"/>
          <w:color w:val="000000" w:themeColor="text1"/>
          <w:sz w:val="28"/>
          <w:szCs w:val="28"/>
        </w:rPr>
        <w:t>программа</w:t>
      </w:r>
      <w:r w:rsidRPr="00DC358C">
        <w:rPr>
          <w:color w:val="000000" w:themeColor="text1"/>
          <w:sz w:val="28"/>
          <w:szCs w:val="28"/>
        </w:rPr>
        <w:tab/>
      </w: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дошкольного</w:t>
      </w:r>
      <w:proofErr w:type="gramEnd"/>
    </w:p>
    <w:p w:rsidR="004E4538" w:rsidRPr="00DC358C" w:rsidRDefault="004E4538">
      <w:pPr>
        <w:spacing w:line="26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6" w:lineRule="auto"/>
        <w:ind w:left="260" w:right="20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образования муниципального бюджетного дошкольного образовательного учреждения детский сад №3 «Березка</w:t>
      </w:r>
      <w:r w:rsidRPr="00DC358C">
        <w:rPr>
          <w:rFonts w:eastAsia="Times New Roman"/>
          <w:color w:val="000000" w:themeColor="text1"/>
          <w:sz w:val="28"/>
          <w:szCs w:val="28"/>
        </w:rPr>
        <w:t>» принята на педагогическом совете от 31.08.2018</w:t>
      </w:r>
      <w:r w:rsidRPr="00DC358C">
        <w:rPr>
          <w:rFonts w:eastAsia="Times New Roman"/>
          <w:color w:val="000000" w:themeColor="text1"/>
          <w:sz w:val="28"/>
          <w:szCs w:val="28"/>
        </w:rPr>
        <w:t xml:space="preserve"> г. №1, утверждена приказом заведующего от 01.09.2018г. №91</w:t>
      </w:r>
      <w:r w:rsidRPr="00DC358C">
        <w:rPr>
          <w:rFonts w:eastAsia="Times New Roman"/>
          <w:color w:val="000000" w:themeColor="text1"/>
          <w:sz w:val="28"/>
          <w:szCs w:val="28"/>
        </w:rPr>
        <w:t>-а</w:t>
      </w:r>
    </w:p>
    <w:p w:rsidR="004E4538" w:rsidRPr="00DC358C" w:rsidRDefault="004E4538">
      <w:pPr>
        <w:spacing w:line="284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tabs>
          <w:tab w:val="left" w:pos="2380"/>
          <w:tab w:val="left" w:pos="5600"/>
          <w:tab w:val="left" w:pos="7860"/>
        </w:tabs>
        <w:ind w:left="820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Основная</w:t>
      </w:r>
      <w:r w:rsidRPr="00DC358C">
        <w:rPr>
          <w:rFonts w:eastAsia="Times New Roman"/>
          <w:color w:val="000000" w:themeColor="text1"/>
          <w:sz w:val="28"/>
          <w:szCs w:val="28"/>
        </w:rPr>
        <w:tab/>
        <w:t>общеобразовательная</w:t>
      </w:r>
      <w:r w:rsidRPr="00DC358C">
        <w:rPr>
          <w:rFonts w:eastAsia="Times New Roman"/>
          <w:color w:val="000000" w:themeColor="text1"/>
          <w:sz w:val="28"/>
          <w:szCs w:val="28"/>
        </w:rPr>
        <w:tab/>
        <w:t>программа это</w:t>
      </w:r>
      <w:r w:rsidRPr="00DC358C">
        <w:rPr>
          <w:color w:val="000000" w:themeColor="text1"/>
          <w:sz w:val="28"/>
          <w:szCs w:val="28"/>
        </w:rPr>
        <w:tab/>
      </w:r>
      <w:r w:rsidRPr="00DC358C">
        <w:rPr>
          <w:rFonts w:eastAsia="Times New Roman"/>
          <w:color w:val="000000" w:themeColor="text1"/>
          <w:sz w:val="28"/>
          <w:szCs w:val="28"/>
        </w:rPr>
        <w:t>нормативно-</w:t>
      </w:r>
    </w:p>
    <w:p w:rsidR="004E4538" w:rsidRPr="00DC358C" w:rsidRDefault="004E4538">
      <w:pPr>
        <w:spacing w:line="19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3" w:lineRule="auto"/>
        <w:ind w:left="260" w:right="20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 xml:space="preserve">управленческий документ дошкольного учреждения, разработанный в соответствии </w:t>
      </w: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с</w:t>
      </w:r>
      <w:proofErr w:type="gramEnd"/>
      <w:r w:rsidRPr="00DC358C">
        <w:rPr>
          <w:rFonts w:eastAsia="Times New Roman"/>
          <w:color w:val="000000" w:themeColor="text1"/>
          <w:sz w:val="28"/>
          <w:szCs w:val="28"/>
        </w:rPr>
        <w:t>:</w:t>
      </w:r>
    </w:p>
    <w:p w:rsidR="004E4538" w:rsidRPr="00DC358C" w:rsidRDefault="004E4538">
      <w:pPr>
        <w:spacing w:line="301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numPr>
          <w:ilvl w:val="0"/>
          <w:numId w:val="1"/>
        </w:numPr>
        <w:tabs>
          <w:tab w:val="left" w:pos="1679"/>
        </w:tabs>
        <w:spacing w:line="233" w:lineRule="auto"/>
        <w:ind w:left="980" w:firstLine="570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Законом Российской Федерации от 29.12.2012 N 273-ФЗ "Об образовании в Российской Федерации";</w:t>
      </w:r>
    </w:p>
    <w:p w:rsidR="004E4538" w:rsidRPr="00DC358C" w:rsidRDefault="004E4538">
      <w:pPr>
        <w:spacing w:line="2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4E4538" w:rsidRPr="00DC358C" w:rsidRDefault="00DC358C">
      <w:pPr>
        <w:numPr>
          <w:ilvl w:val="0"/>
          <w:numId w:val="1"/>
        </w:numPr>
        <w:tabs>
          <w:tab w:val="left" w:pos="1680"/>
        </w:tabs>
        <w:ind w:left="1680" w:hanging="130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Прика</w:t>
      </w:r>
      <w:r w:rsidRPr="00DC358C">
        <w:rPr>
          <w:rFonts w:eastAsia="Times New Roman"/>
          <w:color w:val="000000" w:themeColor="text1"/>
          <w:sz w:val="28"/>
          <w:szCs w:val="28"/>
        </w:rPr>
        <w:t>зом Минобрнауки России от 17.10.2013 N 1155 "</w:t>
      </w: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Об</w:t>
      </w:r>
      <w:proofErr w:type="gramEnd"/>
    </w:p>
    <w:p w:rsidR="004E4538" w:rsidRPr="00DC358C" w:rsidRDefault="004E4538">
      <w:pPr>
        <w:spacing w:line="17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7" w:lineRule="auto"/>
        <w:ind w:left="980" w:right="20"/>
        <w:jc w:val="both"/>
        <w:rPr>
          <w:rFonts w:ascii="Symbol" w:eastAsia="Symbol" w:hAnsi="Symbol" w:cs="Symbol"/>
          <w:color w:val="000000" w:themeColor="text1"/>
          <w:sz w:val="28"/>
          <w:szCs w:val="28"/>
        </w:rPr>
      </w:pP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утверждении</w:t>
      </w:r>
      <w:proofErr w:type="gramEnd"/>
      <w:r w:rsidRPr="00DC358C">
        <w:rPr>
          <w:rFonts w:eastAsia="Times New Roman"/>
          <w:color w:val="000000" w:themeColor="text1"/>
          <w:sz w:val="28"/>
          <w:szCs w:val="28"/>
        </w:rPr>
        <w:t xml:space="preserve">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4E4538" w:rsidRPr="00DC358C" w:rsidRDefault="004E4538">
      <w:pPr>
        <w:spacing w:line="19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4E4538" w:rsidRPr="00DC358C" w:rsidRDefault="00DC358C">
      <w:pPr>
        <w:numPr>
          <w:ilvl w:val="0"/>
          <w:numId w:val="1"/>
        </w:numPr>
        <w:tabs>
          <w:tab w:val="left" w:pos="1679"/>
        </w:tabs>
        <w:spacing w:line="233" w:lineRule="auto"/>
        <w:ind w:left="980" w:right="20" w:firstLine="570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 xml:space="preserve">Санитарно-эпидемиологическими правилами и нормативами </w:t>
      </w:r>
      <w:r w:rsidRPr="00DC358C">
        <w:rPr>
          <w:rFonts w:eastAsia="Times New Roman"/>
          <w:color w:val="000000" w:themeColor="text1"/>
          <w:sz w:val="28"/>
          <w:szCs w:val="28"/>
        </w:rPr>
        <w:t>СанПиН 2.4.1.3049 – 13</w:t>
      </w:r>
    </w:p>
    <w:p w:rsidR="004E4538" w:rsidRPr="00DC358C" w:rsidRDefault="004E4538">
      <w:pPr>
        <w:spacing w:line="301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8" w:lineRule="auto"/>
        <w:ind w:left="260" w:firstLine="569"/>
        <w:jc w:val="both"/>
        <w:rPr>
          <w:color w:val="000000" w:themeColor="text1"/>
          <w:sz w:val="28"/>
          <w:szCs w:val="28"/>
        </w:rPr>
      </w:pP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</w:t>
      </w:r>
      <w:r w:rsidRPr="00DC358C">
        <w:rPr>
          <w:rFonts w:eastAsia="Times New Roman"/>
          <w:color w:val="000000" w:themeColor="text1"/>
          <w:sz w:val="28"/>
          <w:szCs w:val="28"/>
        </w:rPr>
        <w:t>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DC358C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Программа определяет комплекс основных характеристик дошколь</w:t>
      </w:r>
      <w:r w:rsidRPr="00DC358C">
        <w:rPr>
          <w:rFonts w:eastAsia="Times New Roman"/>
          <w:color w:val="000000" w:themeColor="text1"/>
          <w:sz w:val="28"/>
          <w:szCs w:val="28"/>
        </w:rPr>
        <w:t>ного образования (объём, содержание и планируемые</w:t>
      </w:r>
      <w:proofErr w:type="gramEnd"/>
    </w:p>
    <w:p w:rsidR="004E4538" w:rsidRPr="00DC358C" w:rsidRDefault="004E4538">
      <w:pPr>
        <w:spacing w:line="29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3" w:lineRule="auto"/>
        <w:ind w:left="260" w:right="20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результаты в виде целевых ориентиров дошкольного образования), требования к условиям реализации Программы.</w:t>
      </w:r>
    </w:p>
    <w:p w:rsidR="004E4538" w:rsidRPr="00DC358C" w:rsidRDefault="004E4538">
      <w:pPr>
        <w:spacing w:line="20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8" w:lineRule="auto"/>
        <w:ind w:left="260" w:firstLine="569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Программа направлена на создание условий развития ребёнка, открывающих возможности для его позити</w:t>
      </w:r>
      <w:r w:rsidRPr="00DC358C">
        <w:rPr>
          <w:rFonts w:eastAsia="Times New Roman"/>
          <w:color w:val="000000" w:themeColor="text1"/>
          <w:sz w:val="28"/>
          <w:szCs w:val="28"/>
        </w:rPr>
        <w:t xml:space="preserve">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со</w:t>
      </w:r>
      <w:proofErr w:type="gramEnd"/>
      <w:r w:rsidRPr="00DC358C">
        <w:rPr>
          <w:rFonts w:eastAsia="Times New Roman"/>
          <w:color w:val="000000" w:themeColor="text1"/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</w:t>
      </w:r>
      <w:r w:rsidRPr="00DC358C">
        <w:rPr>
          <w:rFonts w:eastAsia="Times New Roman"/>
          <w:color w:val="000000" w:themeColor="text1"/>
          <w:sz w:val="28"/>
          <w:szCs w:val="28"/>
        </w:rPr>
        <w:t>творческой активности, обеспечивающей художественно – эстетическое развитие ребёнка); на создание развивающей</w:t>
      </w:r>
    </w:p>
    <w:p w:rsidR="004E4538" w:rsidRPr="00DC358C" w:rsidRDefault="004E4538">
      <w:pPr>
        <w:rPr>
          <w:color w:val="000000" w:themeColor="text1"/>
          <w:sz w:val="28"/>
          <w:szCs w:val="28"/>
        </w:rPr>
        <w:sectPr w:rsidR="004E4538" w:rsidRPr="00DC358C">
          <w:pgSz w:w="11900" w:h="16841"/>
          <w:pgMar w:top="1118" w:right="849" w:bottom="1440" w:left="1440" w:header="0" w:footer="0" w:gutter="0"/>
          <w:cols w:space="720" w:equalWidth="0">
            <w:col w:w="9620"/>
          </w:cols>
        </w:sectPr>
      </w:pPr>
    </w:p>
    <w:p w:rsidR="004E4538" w:rsidRPr="00DC358C" w:rsidRDefault="00DC358C">
      <w:pPr>
        <w:spacing w:line="236" w:lineRule="auto"/>
        <w:ind w:left="260" w:right="20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lastRenderedPageBreak/>
        <w:t>образовательной среды, которая представляет собой систему условий социализации и индивидуализации детей.</w:t>
      </w:r>
    </w:p>
    <w:p w:rsidR="004E4538" w:rsidRPr="00DC358C" w:rsidRDefault="004E4538">
      <w:pPr>
        <w:spacing w:line="19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7" w:lineRule="auto"/>
        <w:ind w:left="260" w:right="20" w:firstLine="569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Содержание Програм</w:t>
      </w:r>
      <w:r w:rsidRPr="00DC358C">
        <w:rPr>
          <w:rFonts w:eastAsia="Times New Roman"/>
          <w:color w:val="000000" w:themeColor="text1"/>
          <w:sz w:val="28"/>
          <w:szCs w:val="28"/>
        </w:rPr>
        <w:t>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</w:t>
      </w:r>
      <w:r w:rsidRPr="00DC358C">
        <w:rPr>
          <w:rFonts w:eastAsia="Times New Roman"/>
          <w:color w:val="000000" w:themeColor="text1"/>
          <w:sz w:val="28"/>
          <w:szCs w:val="28"/>
        </w:rPr>
        <w:t>твенно-эстетическое развитие; физическое развитие.</w:t>
      </w:r>
    </w:p>
    <w:p w:rsidR="004E4538" w:rsidRPr="00DC358C" w:rsidRDefault="004E4538">
      <w:pPr>
        <w:spacing w:line="24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3" w:lineRule="auto"/>
        <w:ind w:left="260" w:right="20" w:firstLine="569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4E4538" w:rsidRPr="00DC358C" w:rsidRDefault="004E4538">
      <w:pPr>
        <w:spacing w:line="28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6" w:lineRule="auto"/>
        <w:ind w:left="260" w:firstLine="569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 xml:space="preserve">Целевой раздел включает в себя пояснительную записку и планируемые результаты освоения программы. Результаты освоения </w:t>
      </w:r>
      <w:r w:rsidRPr="00DC358C">
        <w:rPr>
          <w:rFonts w:eastAsia="Times New Roman"/>
          <w:color w:val="000000" w:themeColor="text1"/>
          <w:sz w:val="28"/>
          <w:szCs w:val="28"/>
        </w:rPr>
        <w:t>образовательной программы представлены в виде целевых ориентиров дошкольного образования, которые</w:t>
      </w:r>
    </w:p>
    <w:p w:rsidR="004E4538" w:rsidRPr="00DC358C" w:rsidRDefault="004E4538">
      <w:pPr>
        <w:spacing w:line="22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представляют собой социально-нормативные возрастные характеристики возможных достижений ребёнка на этапе завершения уровня дошкольного образования</w:t>
      </w:r>
    </w:p>
    <w:p w:rsidR="004E4538" w:rsidRPr="00DC358C" w:rsidRDefault="004E4538">
      <w:pPr>
        <w:spacing w:line="21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7" w:lineRule="auto"/>
        <w:ind w:left="260" w:right="20" w:firstLine="569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Содержате</w:t>
      </w:r>
      <w:r w:rsidRPr="00DC358C">
        <w:rPr>
          <w:rFonts w:eastAsia="Times New Roman"/>
          <w:color w:val="000000" w:themeColor="text1"/>
          <w:sz w:val="28"/>
          <w:szCs w:val="28"/>
        </w:rPr>
        <w:t>льный раздел представляет общее содержание Программы, обеспечивающее полноценное развитие личности детей.</w:t>
      </w:r>
    </w:p>
    <w:p w:rsidR="004E4538" w:rsidRPr="00DC358C" w:rsidRDefault="00DC358C">
      <w:pPr>
        <w:tabs>
          <w:tab w:val="left" w:pos="2720"/>
          <w:tab w:val="left" w:pos="4160"/>
          <w:tab w:val="left" w:pos="4840"/>
          <w:tab w:val="left" w:pos="7060"/>
          <w:tab w:val="left" w:pos="8200"/>
          <w:tab w:val="left" w:pos="8740"/>
        </w:tabs>
        <w:ind w:left="820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Программа</w:t>
      </w:r>
      <w:r w:rsidRPr="00DC358C">
        <w:rPr>
          <w:rFonts w:eastAsia="Times New Roman"/>
          <w:color w:val="000000" w:themeColor="text1"/>
          <w:sz w:val="28"/>
          <w:szCs w:val="28"/>
        </w:rPr>
        <w:tab/>
        <w:t>состоит</w:t>
      </w:r>
      <w:r w:rsidRPr="00DC358C">
        <w:rPr>
          <w:rFonts w:eastAsia="Times New Roman"/>
          <w:color w:val="000000" w:themeColor="text1"/>
          <w:sz w:val="28"/>
          <w:szCs w:val="28"/>
        </w:rPr>
        <w:tab/>
        <w:t>из</w:t>
      </w:r>
      <w:r w:rsidRPr="00DC358C">
        <w:rPr>
          <w:rFonts w:eastAsia="Times New Roman"/>
          <w:color w:val="000000" w:themeColor="text1"/>
          <w:sz w:val="28"/>
          <w:szCs w:val="28"/>
        </w:rPr>
        <w:tab/>
        <w:t>обязательной</w:t>
      </w:r>
      <w:r w:rsidRPr="00DC358C">
        <w:rPr>
          <w:color w:val="000000" w:themeColor="text1"/>
          <w:sz w:val="28"/>
          <w:szCs w:val="28"/>
        </w:rPr>
        <w:tab/>
      </w:r>
      <w:r w:rsidRPr="00DC358C">
        <w:rPr>
          <w:rFonts w:eastAsia="Times New Roman"/>
          <w:color w:val="000000" w:themeColor="text1"/>
          <w:sz w:val="28"/>
          <w:szCs w:val="28"/>
        </w:rPr>
        <w:t>части</w:t>
      </w:r>
      <w:r w:rsidRPr="00DC358C">
        <w:rPr>
          <w:color w:val="000000" w:themeColor="text1"/>
          <w:sz w:val="28"/>
          <w:szCs w:val="28"/>
        </w:rPr>
        <w:tab/>
      </w:r>
      <w:r w:rsidRPr="00DC358C">
        <w:rPr>
          <w:rFonts w:eastAsia="Times New Roman"/>
          <w:color w:val="000000" w:themeColor="text1"/>
          <w:sz w:val="28"/>
          <w:szCs w:val="28"/>
        </w:rPr>
        <w:t>и</w:t>
      </w:r>
      <w:r w:rsidRPr="00DC358C">
        <w:rPr>
          <w:rFonts w:eastAsia="Times New Roman"/>
          <w:color w:val="000000" w:themeColor="text1"/>
          <w:sz w:val="28"/>
          <w:szCs w:val="28"/>
        </w:rPr>
        <w:tab/>
        <w:t>части,</w:t>
      </w:r>
    </w:p>
    <w:p w:rsidR="004E4538" w:rsidRPr="00DC358C" w:rsidRDefault="004E4538">
      <w:pPr>
        <w:spacing w:line="18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7" w:lineRule="auto"/>
        <w:ind w:left="260" w:right="20"/>
        <w:jc w:val="both"/>
        <w:rPr>
          <w:color w:val="000000" w:themeColor="text1"/>
          <w:sz w:val="28"/>
          <w:szCs w:val="28"/>
        </w:rPr>
      </w:pP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формируемой</w:t>
      </w:r>
      <w:proofErr w:type="gramEnd"/>
      <w:r w:rsidRPr="00DC358C">
        <w:rPr>
          <w:rFonts w:eastAsia="Times New Roman"/>
          <w:color w:val="000000" w:themeColor="text1"/>
          <w:sz w:val="28"/>
          <w:szCs w:val="28"/>
        </w:rPr>
        <w:t xml:space="preserve"> участниками образовательных отношений (вариативная часть). Обязательная часть Программы </w:t>
      </w:r>
      <w:r w:rsidRPr="00DC358C">
        <w:rPr>
          <w:rFonts w:eastAsia="Times New Roman"/>
          <w:color w:val="000000" w:themeColor="text1"/>
          <w:sz w:val="28"/>
          <w:szCs w:val="28"/>
        </w:rPr>
        <w:t xml:space="preserve">отражает комплексность подхода, обеспечивая развитие детей во всех пяти образовательных областях. </w:t>
      </w: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Обязательная часть разработана на основе примерной основной общеобразовательной программы дошкольного образования «От рождения до школы» (Н.Е.Веракса,</w:t>
      </w:r>
      <w:proofErr w:type="gramEnd"/>
    </w:p>
    <w:p w:rsidR="004E4538" w:rsidRPr="00DC358C" w:rsidRDefault="004E4538">
      <w:pPr>
        <w:spacing w:line="24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Т.С.Ко</w:t>
      </w:r>
      <w:r w:rsidRPr="00DC358C">
        <w:rPr>
          <w:rFonts w:eastAsia="Times New Roman"/>
          <w:color w:val="000000" w:themeColor="text1"/>
          <w:sz w:val="28"/>
          <w:szCs w:val="28"/>
        </w:rPr>
        <w:t>марова, М.А.Васильева) с учётом используемых парциальных программ:</w:t>
      </w:r>
      <w:proofErr w:type="gramEnd"/>
      <w:r w:rsidRPr="00DC358C">
        <w:rPr>
          <w:rFonts w:eastAsia="Times New Roman"/>
          <w:color w:val="000000" w:themeColor="text1"/>
          <w:sz w:val="28"/>
          <w:szCs w:val="28"/>
        </w:rPr>
        <w:t xml:space="preserve"> «Красота-радость – творчество» Т.С.Комаровой; «Здоровье» В.Г. Алямовской; "Безопасность" Р.Б. Стёркина, Н.Н. Авдеева; «Приобщение дошкольников к истокам русской национальной культуры» О.Л. </w:t>
      </w:r>
      <w:r w:rsidRPr="00DC358C">
        <w:rPr>
          <w:rFonts w:eastAsia="Times New Roman"/>
          <w:color w:val="000000" w:themeColor="text1"/>
          <w:sz w:val="28"/>
          <w:szCs w:val="28"/>
        </w:rPr>
        <w:t>Князева.</w:t>
      </w:r>
    </w:p>
    <w:p w:rsidR="004E4538" w:rsidRPr="00DC358C" w:rsidRDefault="004E4538">
      <w:pPr>
        <w:spacing w:line="20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3" w:lineRule="auto"/>
        <w:ind w:left="260" w:right="20" w:firstLine="569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 xml:space="preserve">Вариативная часть отражает развитие детей в образовательной области познание (основы краеведения). Выбор </w:t>
      </w:r>
      <w:proofErr w:type="gramStart"/>
      <w:r w:rsidRPr="00DC358C">
        <w:rPr>
          <w:rFonts w:eastAsia="Times New Roman"/>
          <w:color w:val="000000" w:themeColor="text1"/>
          <w:sz w:val="28"/>
          <w:szCs w:val="28"/>
        </w:rPr>
        <w:t>данного</w:t>
      </w:r>
      <w:proofErr w:type="gramEnd"/>
    </w:p>
    <w:p w:rsidR="004E4538" w:rsidRPr="00DC358C" w:rsidRDefault="004E4538">
      <w:pPr>
        <w:spacing w:line="20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6" w:lineRule="auto"/>
        <w:ind w:left="260" w:right="20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 xml:space="preserve">направления для части, формируемой участниками образовательного процесса, соответствует потребностям и интересам детей, а также </w:t>
      </w:r>
      <w:r w:rsidRPr="00DC358C">
        <w:rPr>
          <w:rFonts w:eastAsia="Times New Roman"/>
          <w:color w:val="000000" w:themeColor="text1"/>
          <w:sz w:val="28"/>
          <w:szCs w:val="28"/>
        </w:rPr>
        <w:t>возможностям педагогического коллектива.</w:t>
      </w:r>
    </w:p>
    <w:p w:rsidR="004E4538" w:rsidRPr="00DC358C" w:rsidRDefault="004E4538">
      <w:pPr>
        <w:rPr>
          <w:color w:val="000000" w:themeColor="text1"/>
          <w:sz w:val="28"/>
          <w:szCs w:val="28"/>
        </w:rPr>
        <w:sectPr w:rsidR="004E4538" w:rsidRPr="00DC358C">
          <w:pgSz w:w="11900" w:h="16841"/>
          <w:pgMar w:top="1137" w:right="849" w:bottom="1440" w:left="1440" w:header="0" w:footer="0" w:gutter="0"/>
          <w:cols w:space="720" w:equalWidth="0">
            <w:col w:w="9620"/>
          </w:cols>
        </w:sectPr>
      </w:pPr>
    </w:p>
    <w:p w:rsidR="004E4538" w:rsidRPr="00DC358C" w:rsidRDefault="00DC358C">
      <w:pPr>
        <w:spacing w:line="237" w:lineRule="auto"/>
        <w:ind w:left="260" w:firstLine="569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lastRenderedPageBreak/>
        <w:t>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</w:t>
      </w:r>
      <w:r w:rsidRPr="00DC358C">
        <w:rPr>
          <w:rFonts w:eastAsia="Times New Roman"/>
          <w:color w:val="000000" w:themeColor="text1"/>
          <w:sz w:val="28"/>
          <w:szCs w:val="28"/>
        </w:rPr>
        <w:t>енности организации предметно-</w:t>
      </w:r>
    </w:p>
    <w:p w:rsidR="004E4538" w:rsidRPr="00DC358C" w:rsidRDefault="004E4538">
      <w:pPr>
        <w:spacing w:line="24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3" w:lineRule="auto"/>
        <w:ind w:left="260" w:right="20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пространственной среды, особенности взаимодействия педагогического коллектива с семьями воспитанников.</w:t>
      </w:r>
    </w:p>
    <w:p w:rsidR="004E4538" w:rsidRPr="00DC358C" w:rsidRDefault="004E4538">
      <w:pPr>
        <w:spacing w:line="1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ind w:left="820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>Взаимодействие  с  родителями  (законными  представителями)</w:t>
      </w:r>
    </w:p>
    <w:p w:rsidR="004E4538" w:rsidRPr="00DC358C" w:rsidRDefault="004E4538">
      <w:pPr>
        <w:spacing w:line="19" w:lineRule="exact"/>
        <w:rPr>
          <w:color w:val="000000" w:themeColor="text1"/>
          <w:sz w:val="28"/>
          <w:szCs w:val="28"/>
        </w:rPr>
      </w:pPr>
    </w:p>
    <w:p w:rsidR="004E4538" w:rsidRPr="00DC358C" w:rsidRDefault="00DC358C">
      <w:pPr>
        <w:spacing w:line="238" w:lineRule="auto"/>
        <w:ind w:left="260" w:right="20"/>
        <w:jc w:val="both"/>
        <w:rPr>
          <w:color w:val="000000" w:themeColor="text1"/>
          <w:sz w:val="28"/>
          <w:szCs w:val="28"/>
        </w:rPr>
      </w:pPr>
      <w:r w:rsidRPr="00DC358C">
        <w:rPr>
          <w:rFonts w:eastAsia="Times New Roman"/>
          <w:color w:val="000000" w:themeColor="text1"/>
          <w:sz w:val="28"/>
          <w:szCs w:val="28"/>
        </w:rPr>
        <w:t xml:space="preserve">по вопросам образования ребёнка происходит через </w:t>
      </w:r>
      <w:r w:rsidRPr="00DC358C">
        <w:rPr>
          <w:rFonts w:eastAsia="Times New Roman"/>
          <w:color w:val="000000" w:themeColor="text1"/>
          <w:sz w:val="28"/>
          <w:szCs w:val="28"/>
        </w:rPr>
        <w:t>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sectPr w:rsidR="004E4538" w:rsidRPr="00DC358C" w:rsidSect="004E4538">
      <w:pgSz w:w="11900" w:h="16841"/>
      <w:pgMar w:top="1137" w:right="84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B3439C4"/>
    <w:lvl w:ilvl="0" w:tplc="A55C5282">
      <w:start w:val="1"/>
      <w:numFmt w:val="bullet"/>
      <w:lvlText w:val=""/>
      <w:lvlJc w:val="left"/>
    </w:lvl>
    <w:lvl w:ilvl="1" w:tplc="D618DA82">
      <w:numFmt w:val="decimal"/>
      <w:lvlText w:val=""/>
      <w:lvlJc w:val="left"/>
    </w:lvl>
    <w:lvl w:ilvl="2" w:tplc="4358F8FC">
      <w:numFmt w:val="decimal"/>
      <w:lvlText w:val=""/>
      <w:lvlJc w:val="left"/>
    </w:lvl>
    <w:lvl w:ilvl="3" w:tplc="7410F8BE">
      <w:numFmt w:val="decimal"/>
      <w:lvlText w:val=""/>
      <w:lvlJc w:val="left"/>
    </w:lvl>
    <w:lvl w:ilvl="4" w:tplc="41A48A7E">
      <w:numFmt w:val="decimal"/>
      <w:lvlText w:val=""/>
      <w:lvlJc w:val="left"/>
    </w:lvl>
    <w:lvl w:ilvl="5" w:tplc="7CF090DE">
      <w:numFmt w:val="decimal"/>
      <w:lvlText w:val=""/>
      <w:lvlJc w:val="left"/>
    </w:lvl>
    <w:lvl w:ilvl="6" w:tplc="3050D69C">
      <w:numFmt w:val="decimal"/>
      <w:lvlText w:val=""/>
      <w:lvlJc w:val="left"/>
    </w:lvl>
    <w:lvl w:ilvl="7" w:tplc="99280E52">
      <w:numFmt w:val="decimal"/>
      <w:lvlText w:val=""/>
      <w:lvlJc w:val="left"/>
    </w:lvl>
    <w:lvl w:ilvl="8" w:tplc="C08EC0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4538"/>
    <w:rsid w:val="004E4538"/>
    <w:rsid w:val="00DC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2019-03-25T04:54:00Z</dcterms:created>
  <dcterms:modified xsi:type="dcterms:W3CDTF">2019-03-25T04:07:00Z</dcterms:modified>
</cp:coreProperties>
</file>